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6466E2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17146">
        <w:rPr>
          <w:rFonts w:ascii="Times New Roman" w:hAnsi="Times New Roman" w:cs="Times New Roman"/>
          <w:sz w:val="24"/>
          <w:szCs w:val="24"/>
        </w:rPr>
        <w:t>3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8706009" w14:textId="16FC8791" w:rsidR="00554E85" w:rsidRPr="00403619" w:rsidRDefault="00403619" w:rsidP="00403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1A4E1F48" w14:textId="4212BA6A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864341" w14:textId="550B6FF4" w:rsidR="00403619" w:rsidRDefault="00403619" w:rsidP="00F161E8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Oświadczam, 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iż ubiegając się o zamówienie na </w:t>
      </w:r>
      <w:r w:rsidR="00F161E8" w:rsidRPr="00F161E8">
        <w:rPr>
          <w:rFonts w:ascii="Times New Roman" w:hAnsi="Times New Roman" w:cs="Times New Roman"/>
          <w:sz w:val="24"/>
          <w:szCs w:val="24"/>
          <w:lang w:val="pl-PL"/>
        </w:rPr>
        <w:t>zakup, dostawę oraz montaż podnośnika platformowego dla niepełnosprawnych</w:t>
      </w:r>
      <w:r w:rsidR="00F161E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161E8" w:rsidRPr="00F161E8">
        <w:rPr>
          <w:rFonts w:ascii="Times New Roman" w:hAnsi="Times New Roman" w:cs="Times New Roman"/>
          <w:sz w:val="24"/>
          <w:szCs w:val="24"/>
          <w:lang w:val="pl-PL"/>
        </w:rPr>
        <w:t>na potrzeby Szkoły Podstawowej nr 2 w Ełku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projektu pn. Kuźnia kompetencji w Szkole Podstawowej nr 2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Nr umowy FEWM.06.06-IZ.00-0003/25-00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Priorytetu 6 Edukacja i kompetencje EFS+, z zakresu Działania 6.6 programu regionalnego Fundusze Europejskie dla Warmii i Mazur na lata 2021-2027 współfinansowanego z Europejskiego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Funduszu Społecznego Plus.</w:t>
      </w:r>
    </w:p>
    <w:p w14:paraId="62822C69" w14:textId="36EE93A2" w:rsidR="00017146" w:rsidRDefault="00017146" w:rsidP="00017146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A27F5F" w14:textId="25F46627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i/>
          <w:iCs/>
          <w:sz w:val="24"/>
          <w:szCs w:val="24"/>
          <w:lang w:val="pl-PL"/>
        </w:rPr>
        <w:t>NIE ZACHODZĄ WOBEC WYKONAWCY, KTÓREGO REPREZENTUJĘ</w:t>
      </w:r>
    </w:p>
    <w:p w14:paraId="2BFFB79E" w14:textId="0C33ECE3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3F1374B1" w14:textId="5FDA11C8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Przesłanki wykluczenia wykonawcy z udziału w postępowaniu wskazane w rozdziale 6.2 zapytania ofertowego o następującej treści: </w:t>
      </w:r>
    </w:p>
    <w:p w14:paraId="4BE8FC46" w14:textId="4422E25F" w:rsid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0953214B" w14:textId="631DF08A" w:rsidR="00017146" w:rsidRDefault="00017146" w:rsidP="00017146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sz w:val="24"/>
          <w:szCs w:val="24"/>
          <w:lang w:val="pl-PL"/>
        </w:rPr>
        <w:t xml:space="preserve">Zamawiający wykluczy z udziału w postępowaniu wykonawcę, który: </w:t>
      </w:r>
    </w:p>
    <w:p w14:paraId="0EA1CA42" w14:textId="6FD8FD92" w:rsidR="00376BC6" w:rsidRDefault="00376BC6" w:rsidP="00017146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7284C1B2" w14:textId="1FBF6EC2" w:rsidR="00376BC6" w:rsidRDefault="00376BC6" w:rsidP="00F161E8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wyniku lekkomyślności lub niedbalstwa przedstawił informację wprowadzającą </w:t>
      </w:r>
      <w:r w:rsidR="00F161E8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błąd zamawiającego, mogące mieć istotny wpływ na decyzję podejmowane przez zamawiającego w postępowaniu o udzielnie zamówienia;</w:t>
      </w:r>
    </w:p>
    <w:p w14:paraId="073A4240" w14:textId="77524F75" w:rsidR="00376BC6" w:rsidRDefault="00376BC6" w:rsidP="00F161E8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bezprawnie wpływał lub próbował wpłynąć na czynności zamawiającego lub pozyskać informacje poufne mogące dać mu przewagę w postępowaniu o udzielenie zamówienia; </w:t>
      </w:r>
    </w:p>
    <w:p w14:paraId="2BBF272D" w14:textId="469F6F12" w:rsidR="00376BC6" w:rsidRDefault="00376BC6" w:rsidP="00F161E8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brał udział w przygotowaniu postepowaniu o udzielenie zamówienie </w:t>
      </w:r>
      <w:proofErr w:type="gramStart"/>
      <w:r>
        <w:rPr>
          <w:rFonts w:ascii="Times New Roman" w:hAnsi="Times New Roman" w:cs="Times New Roman"/>
          <w:sz w:val="24"/>
          <w:szCs w:val="24"/>
          <w:lang w:val="pl-PL"/>
        </w:rPr>
        <w:t>lub,</w:t>
      </w:r>
      <w:proofErr w:type="gramEnd"/>
      <w:r>
        <w:rPr>
          <w:rFonts w:ascii="Times New Roman" w:hAnsi="Times New Roman" w:cs="Times New Roman"/>
          <w:sz w:val="24"/>
          <w:szCs w:val="24"/>
          <w:lang w:val="pl-PL"/>
        </w:rPr>
        <w:t xml:space="preserve"> którego pracownik, a także wykonująca prace na podstawie umowy zlecenia, </w:t>
      </w:r>
      <w:r w:rsidR="00F161E8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 dzieło, agencyjnej lub innej umowy, o świadczenie usług, brał udział </w:t>
      </w:r>
      <w:r w:rsidR="00F161E8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przygotowaniu takiego postepowania, chyba, że spowodowane tym zakłócenie konkurencji może być wyeliminowane w inny sposób niż przez wykluczenie wykonawcy z udziału w postępowaniu; </w:t>
      </w:r>
    </w:p>
    <w:p w14:paraId="2B061047" w14:textId="1839E955" w:rsidR="00376BC6" w:rsidRDefault="00376BC6" w:rsidP="00F161E8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z innymi wykonawcami zawarł porozumienie mające na celu zakłócenie konkurencji między wykonawcami w postepowaniu o udzielenie zamówienia, co zamawiający jest w stanie wykazać za pomocą stosownych środków dowodowych; </w:t>
      </w:r>
    </w:p>
    <w:p w14:paraId="00B91044" w14:textId="3A385087" w:rsidR="00376BC6" w:rsidRDefault="00376BC6" w:rsidP="00F161E8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F161E8">
        <w:rPr>
          <w:rFonts w:ascii="Times New Roman" w:hAnsi="Times New Roman" w:cs="Times New Roman"/>
          <w:sz w:val="24"/>
          <w:szCs w:val="24"/>
          <w:lang w:val="pl-PL"/>
        </w:rPr>
        <w:t>stosunku,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 którego otwarto likwidację, zatwierdzonym przez sąd udziale </w:t>
      </w:r>
      <w:r w:rsidR="00F161E8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postępowaniu restrukturyzacyjnym jest przewidziane zaspokojenie wierzycieli przez likwidację jego majątku lub sąd zarządził likwidację jego majątku w trybie art.332 ust.1 ustawy z dnia 15 maja 2015 r. – Prawo restrukturyzacyjne (Dz. U. 2,22 poz. 2309, </w:t>
      </w:r>
      <w:r w:rsidR="00F161E8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poźn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 zm.) lub którego upadłość ogłoszono, z wyjątkiem wykonawcy, który po ogłoszeniu upadłości zawarł układ zatwierdzony prawomocnym postanowieniem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 xml:space="preserve"> sądu, jeśli układ nie przewiduje zaspokojenia wierzycieli przez likwidację majątku upadłego, chyba że sąd zarządził likwidację, jego majątku w trybie art. 366 ust.1 ustawy z dnia 28 lutego 2003 r. – Prawo upadłościowe (Dz. U z 2024 r. poz. 794);</w:t>
      </w:r>
    </w:p>
    <w:p w14:paraId="1F1F7501" w14:textId="770BEE3C" w:rsidR="00D66867" w:rsidRDefault="00D66867" w:rsidP="00F161E8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który w sposób zawiniony poważnie naruszył obowiązki zawodowe, co podważa jego uczciwość, w </w:t>
      </w:r>
      <w:r w:rsidR="00F161E8">
        <w:rPr>
          <w:rFonts w:ascii="Times New Roman" w:hAnsi="Times New Roman" w:cs="Times New Roman"/>
          <w:sz w:val="24"/>
          <w:szCs w:val="24"/>
          <w:lang w:val="pl-PL"/>
        </w:rPr>
        <w:t>szczególności,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gdy wykonawca w wyniku zamierzonego działania lub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rażącego niedbalstwa nie wykonał lub nienależycie wykonał zamówienie co zamawiający jest w stanie wykazać za pomocą stosownych środków dowodowych; </w:t>
      </w:r>
    </w:p>
    <w:p w14:paraId="75CE7C1A" w14:textId="50EDFB72" w:rsidR="00D66867" w:rsidRDefault="00D66867" w:rsidP="00F161E8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który, z przyczyn leżących po jego stronie, nie wykonał lub nienależycie wykonał </w:t>
      </w:r>
      <w:r w:rsidR="00F161E8">
        <w:rPr>
          <w:rFonts w:ascii="Times New Roman" w:hAnsi="Times New Roman" w:cs="Times New Roman"/>
          <w:sz w:val="24"/>
          <w:szCs w:val="24"/>
          <w:lang w:val="pl-PL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 xml:space="preserve">w istotnym stopniu wcześniejszą umowę w sprawie zamówienia publicznego lub umowę koncesji, zawartą z zamawiającym, o którym mowa w art. 3 ust.1 pkt. 1-4 ustawy Prawo zamówień publicznych co doprowadziło do rozwiązania umowy lub zasądzenia odszkodowania. </w:t>
      </w:r>
    </w:p>
    <w:p w14:paraId="3FBF4809" w14:textId="283B46F4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6B194CC7" w:rsidR="00D66867" w:rsidRPr="00017146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161E8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350DEE-541E-47C0-BD86-1D51231C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3</cp:revision>
  <cp:lastPrinted>2018-05-20T17:00:00Z</cp:lastPrinted>
  <dcterms:created xsi:type="dcterms:W3CDTF">2025-09-27T17:14:00Z</dcterms:created>
  <dcterms:modified xsi:type="dcterms:W3CDTF">2025-10-28T07:33:00Z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