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5A49" w14:textId="77777777" w:rsidR="001D150A" w:rsidRDefault="001D150A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</w:p>
    <w:p w14:paraId="2AE118AB" w14:textId="64869BCD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A833CE">
        <w:rPr>
          <w:rFonts w:cs="Times New Roman"/>
          <w:color w:val="000000" w:themeColor="text1"/>
          <w:sz w:val="20"/>
          <w:szCs w:val="20"/>
        </w:rPr>
        <w:t>17</w:t>
      </w:r>
      <w:r w:rsidR="007319EC">
        <w:rPr>
          <w:rFonts w:cs="Times New Roman"/>
          <w:color w:val="000000" w:themeColor="text1"/>
          <w:sz w:val="20"/>
          <w:szCs w:val="20"/>
        </w:rPr>
        <w:t>.12</w:t>
      </w:r>
      <w:r w:rsidR="00B81762">
        <w:rPr>
          <w:rFonts w:cs="Times New Roman"/>
          <w:color w:val="000000" w:themeColor="text1"/>
          <w:sz w:val="20"/>
          <w:szCs w:val="20"/>
        </w:rPr>
        <w:t>.</w:t>
      </w:r>
      <w:r w:rsidR="00BF2842">
        <w:rPr>
          <w:rFonts w:cs="Times New Roman"/>
          <w:color w:val="000000" w:themeColor="text1"/>
          <w:sz w:val="20"/>
          <w:szCs w:val="20"/>
        </w:rPr>
        <w:t>2024</w:t>
      </w:r>
      <w:r w:rsidRPr="00B81762">
        <w:rPr>
          <w:rFonts w:cs="Times New Roman"/>
          <w:color w:val="000000" w:themeColor="text1"/>
          <w:sz w:val="20"/>
          <w:szCs w:val="20"/>
        </w:rPr>
        <w:t>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174C9EDC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</w:t>
      </w:r>
      <w:r w:rsidR="00A833CE">
        <w:rPr>
          <w:rFonts w:ascii="Times New Roman" w:hAnsi="Times New Roman" w:cs="Times New Roman"/>
          <w:bCs/>
          <w:color w:val="000000"/>
        </w:rPr>
        <w:t xml:space="preserve">producenta </w:t>
      </w:r>
      <w:r w:rsidR="00324A42">
        <w:rPr>
          <w:rFonts w:ascii="Times New Roman" w:hAnsi="Times New Roman" w:cs="Times New Roman"/>
          <w:bCs/>
          <w:color w:val="000000"/>
        </w:rPr>
        <w:t xml:space="preserve">w okresie </w:t>
      </w:r>
      <w:r w:rsidR="00324A42" w:rsidRPr="00A833CE">
        <w:rPr>
          <w:rFonts w:ascii="Times New Roman" w:hAnsi="Times New Roman" w:cs="Times New Roman"/>
          <w:bCs/>
          <w:color w:val="000000"/>
        </w:rPr>
        <w:t>co najmniej 60</w:t>
      </w:r>
      <w:r w:rsidR="002665D6" w:rsidRPr="00A833CE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A833CE">
        <w:rPr>
          <w:rFonts w:ascii="Times New Roman" w:hAnsi="Times New Roman" w:cs="Times New Roman"/>
          <w:bCs/>
          <w:color w:val="000000"/>
        </w:rPr>
        <w:t>miesięcy</w:t>
      </w:r>
      <w:r w:rsidR="00A57ABC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DB4743">
        <w:rPr>
          <w:rFonts w:ascii="Times New Roman" w:hAnsi="Times New Roman" w:cs="Times New Roman"/>
          <w:bCs/>
          <w:color w:val="000000"/>
        </w:rPr>
        <w:t>w</w:t>
      </w:r>
      <w:r w:rsidR="003E3674">
        <w:rPr>
          <w:rFonts w:ascii="Times New Roman" w:hAnsi="Times New Roman" w:cs="Times New Roman"/>
          <w:bCs/>
          <w:color w:val="000000"/>
        </w:rPr>
        <w:t xml:space="preserve">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3BD1D65C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</w:t>
      </w:r>
      <w:r w:rsidR="0061126B">
        <w:rPr>
          <w:rFonts w:ascii="Times New Roman" w:hAnsi="Times New Roman" w:cs="Times New Roman"/>
          <w:bCs/>
          <w:color w:val="000000"/>
        </w:rPr>
        <w:t xml:space="preserve">musi </w:t>
      </w:r>
      <w:r w:rsidR="0061126B" w:rsidRPr="00DB4743">
        <w:rPr>
          <w:rFonts w:ascii="Times New Roman" w:hAnsi="Times New Roman" w:cs="Times New Roman"/>
          <w:bCs/>
          <w:color w:val="000000"/>
        </w:rPr>
        <w:t>współpracować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748FBAB1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</w:t>
      </w:r>
      <w:r w:rsidR="0061126B">
        <w:rPr>
          <w:rFonts w:ascii="Times New Roman" w:hAnsi="Times New Roman" w:cs="Times New Roman"/>
          <w:bCs/>
          <w:color w:val="000000"/>
        </w:rPr>
        <w:t xml:space="preserve">Do </w:t>
      </w:r>
      <w:r w:rsidR="0061126B" w:rsidRPr="00DB4743">
        <w:rPr>
          <w:rFonts w:ascii="Times New Roman" w:hAnsi="Times New Roman" w:cs="Times New Roman"/>
          <w:bCs/>
          <w:color w:val="000000"/>
        </w:rPr>
        <w:t>urządzenia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="0061126B" w:rsidRPr="00DB4743">
        <w:rPr>
          <w:rFonts w:ascii="Times New Roman" w:hAnsi="Times New Roman" w:cs="Times New Roman"/>
          <w:bCs/>
        </w:rPr>
        <w:t>SLA do</w:t>
      </w:r>
      <w:r w:rsidR="0068247F" w:rsidRPr="00DB4743">
        <w:rPr>
          <w:rFonts w:ascii="Times New Roman" w:hAnsi="Times New Roman" w:cs="Times New Roman"/>
          <w:bCs/>
        </w:rPr>
        <w:t xml:space="preserve">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7C496470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</w:t>
      </w:r>
      <w:r w:rsidR="0061126B" w:rsidRPr="003E3674">
        <w:rPr>
          <w:rFonts w:ascii="Times New Roman" w:hAnsi="Times New Roman" w:cs="Times New Roman"/>
          <w:bCs/>
        </w:rPr>
        <w:t>urządzenia, i</w:t>
      </w:r>
      <w:r w:rsidR="003E3674" w:rsidRPr="003E3674">
        <w:rPr>
          <w:rFonts w:ascii="Times New Roman" w:hAnsi="Times New Roman" w:cs="Times New Roman"/>
          <w:bCs/>
        </w:rPr>
        <w:t xml:space="preserve">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5B798D3" w:rsidR="0068247F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1F6EC2C7" w14:textId="77777777" w:rsidR="00E2662F" w:rsidRDefault="00E2662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F3755B2" w14:textId="43B19916" w:rsidR="001D150A" w:rsidRDefault="0061126B" w:rsidP="00E2662F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</w:t>
      </w:r>
      <w:r w:rsidR="00E2662F">
        <w:rPr>
          <w:rFonts w:ascii="Times New Roman" w:hAnsi="Times New Roman" w:cs="Times New Roman"/>
          <w:bCs/>
          <w:color w:val="000000"/>
        </w:rPr>
        <w:t xml:space="preserve"> </w:t>
      </w:r>
      <w:r w:rsidR="001D150A" w:rsidRPr="001D150A">
        <w:rPr>
          <w:rFonts w:ascii="Times New Roman" w:hAnsi="Times New Roman" w:cs="Times New Roman"/>
          <w:bCs/>
          <w:color w:val="000000"/>
        </w:rPr>
        <w:t>monitory interaktywne o minimalnych parametrach:</w:t>
      </w:r>
    </w:p>
    <w:p w14:paraId="3D5F1637" w14:textId="77777777" w:rsidR="001D150A" w:rsidRPr="00DB4743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pPr w:leftFromText="141" w:rightFromText="141" w:bottomFromText="115" w:vertAnchor="text" w:tblpX="10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935"/>
      </w:tblGrid>
      <w:tr w:rsidR="00184535" w:rsidRPr="003930B0" w14:paraId="4DF8F10E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5602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Przekątna ekranu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60B37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Min. 75”</w:t>
            </w:r>
          </w:p>
        </w:tc>
      </w:tr>
      <w:tr w:rsidR="00184535" w:rsidRPr="003930B0" w14:paraId="1EB6D783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892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Wprowadzanie informacji przez użytkownika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E08D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Dotykowo lub za pomocą bezbateryjnego pisaka</w:t>
            </w:r>
          </w:p>
        </w:tc>
      </w:tr>
      <w:tr w:rsidR="00184535" w:rsidRPr="003930B0" w14:paraId="0DF094E9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66C2B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Rozdzielczość wyświetlacza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0949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3840 x 2160@60Hz</w:t>
            </w:r>
          </w:p>
        </w:tc>
      </w:tr>
      <w:tr w:rsidR="00184535" w:rsidRPr="003930B0" w14:paraId="6816999B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696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Typ ekranu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0E46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LCD z bezpośrednim podświetleniem LED.</w:t>
            </w:r>
          </w:p>
        </w:tc>
      </w:tr>
      <w:tr w:rsidR="00184535" w:rsidRPr="003930B0" w14:paraId="001FE9A2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FC1E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Jasność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D7DC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Minimum 400 cd/m2</w:t>
            </w:r>
          </w:p>
        </w:tc>
      </w:tr>
      <w:tr w:rsidR="00184535" w:rsidRPr="003930B0" w14:paraId="2BB9C2B3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29C41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Kontrast statyczny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1507D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Minimum 5000:1 </w:t>
            </w:r>
          </w:p>
        </w:tc>
      </w:tr>
      <w:tr w:rsidR="00184535" w:rsidRPr="003930B0" w14:paraId="7DCE9589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F071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Żywotność panelu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01B28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Minimum 50 000 godzin </w:t>
            </w:r>
          </w:p>
        </w:tc>
      </w:tr>
      <w:tr w:rsidR="00184535" w:rsidRPr="003930B0" w14:paraId="14532846" w14:textId="77777777" w:rsidTr="00C814F0">
        <w:trPr>
          <w:trHeight w:val="554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B97F6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Technologia pozycjonowania dotyku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1A77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Podczerwień z 50 punktami dotyku </w:t>
            </w:r>
          </w:p>
        </w:tc>
      </w:tr>
      <w:tr w:rsidR="00184535" w:rsidRPr="003930B0" w14:paraId="1B5B3BF8" w14:textId="77777777" w:rsidTr="00C814F0">
        <w:trPr>
          <w:trHeight w:val="399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CD24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Czas reakcji dotyku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CE21D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Poniżej 3 ms</w:t>
            </w:r>
          </w:p>
        </w:tc>
      </w:tr>
      <w:tr w:rsidR="00184535" w:rsidRPr="003930B0" w14:paraId="53781D12" w14:textId="77777777" w:rsidTr="00C814F0">
        <w:trPr>
          <w:trHeight w:val="399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84CDF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System Android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9CE32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Wbudowany system Android w wersji 13.0 lub wyższej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Procesor co najmniej 8-mio rdzeniowy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Pamięć RAM co najmniej 8 GB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Wbudowana pamięć wewnętrzna co najmniej 128 GB </w:t>
            </w:r>
          </w:p>
        </w:tc>
      </w:tr>
      <w:tr w:rsidR="00184535" w:rsidRPr="003930B0" w14:paraId="68EB1BCB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00B4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Dodatkowe funkcje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CED5F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Wbudowany filtr światła niebieskiego z regulacją mocy. </w:t>
            </w:r>
          </w:p>
        </w:tc>
      </w:tr>
      <w:tr w:rsidR="00184535" w:rsidRPr="003930B0" w14:paraId="0223B371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6232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Porty komunikacyjne 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E371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4x USB w standardzie USB 3.0 lub wyższym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2x USB- </w:t>
            </w:r>
            <w:proofErr w:type="gram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C  (</w:t>
            </w:r>
            <w:proofErr w:type="gram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 tym jeden zapewniający moc ładowania co najmniej 65W) 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3x USB Touch,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RS232,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2x LAN (1000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Mbps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</w:p>
        </w:tc>
      </w:tr>
      <w:tr w:rsidR="00184535" w:rsidRPr="003930B0" w14:paraId="589704DE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799D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Porty wideo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6B83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Wejścia wideo: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- 3 x HDMI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- 1 x DP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- 1 x VGA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Wyjścia wideo: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- 1 x HDMI umożliwiający zduplikowanie obrazu monitora interaktywnego na kolejnym wyświetlaczu.</w:t>
            </w:r>
          </w:p>
        </w:tc>
      </w:tr>
      <w:tr w:rsidR="00184535" w:rsidRPr="003930B0" w14:paraId="3EAEFF44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28EE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Porty audio 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09D4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1 x wejście audio, 1x wyjście audio, 1 x SPDIF </w:t>
            </w:r>
          </w:p>
        </w:tc>
      </w:tr>
      <w:tr w:rsidR="00184535" w:rsidRPr="003930B0" w14:paraId="363AD338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3B64F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Slot na komputer wewnętrzny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5D00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 na instalację komputera wewnętrznego </w:t>
            </w:r>
          </w:p>
        </w:tc>
      </w:tr>
      <w:tr w:rsidR="00184535" w:rsidRPr="003930B0" w14:paraId="32EC46BE" w14:textId="77777777" w:rsidTr="00C814F0">
        <w:trPr>
          <w:trHeight w:val="561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5DF0B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Komunikacja bezprzewodowa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A585B" w14:textId="00FCFB0F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Zaimplementowa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przez producenta monitora komunikacja bezprzewodowa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</w:t>
            </w:r>
            <w:bookmarkStart w:id="0" w:name="_GoBack"/>
            <w:bookmarkEnd w:id="0"/>
            <w:r w:rsidR="00A57ABC" w:rsidRPr="00184535">
              <w:rPr>
                <w:rFonts w:ascii="Times New Roman" w:hAnsi="Times New Roman" w:cs="Times New Roman"/>
                <w:bCs/>
                <w:color w:val="000000"/>
              </w:rPr>
              <w:t>WiFi 802.11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a/b/g/n/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ac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Bluetooth obsługująca standard Bluetooth 5.1 </w:t>
            </w:r>
          </w:p>
        </w:tc>
      </w:tr>
      <w:tr w:rsidR="00184535" w:rsidRPr="003930B0" w14:paraId="42103730" w14:textId="77777777" w:rsidTr="00C814F0">
        <w:trPr>
          <w:trHeight w:val="455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BCE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Głośniki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556D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Wbudowane w monitor o mocy sumarycznej co najmniej 60W</w:t>
            </w:r>
          </w:p>
        </w:tc>
      </w:tr>
      <w:tr w:rsidR="00184535" w:rsidRPr="003930B0" w14:paraId="1D74F391" w14:textId="77777777" w:rsidTr="00C814F0">
        <w:trPr>
          <w:trHeight w:val="7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20D2D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Konta użytkowników</w:t>
            </w:r>
          </w:p>
        </w:tc>
        <w:tc>
          <w:tcPr>
            <w:tcW w:w="6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01791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System umożliwia tworzenie kont użytkowników (minimum 9 kont) oraz zabezpieczenie dostępu do nich hasłem. </w:t>
            </w:r>
          </w:p>
        </w:tc>
      </w:tr>
      <w:tr w:rsidR="00184535" w:rsidRPr="003930B0" w14:paraId="261B91A4" w14:textId="77777777" w:rsidTr="00C814F0">
        <w:trPr>
          <w:trHeight w:val="7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0BCA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Aplikacje i funkcjonalności oprogramowania w systemie Android</w:t>
            </w:r>
          </w:p>
        </w:tc>
        <w:tc>
          <w:tcPr>
            <w:tcW w:w="6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1DDE8" w14:textId="77777777" w:rsidR="00184535" w:rsidRPr="006D5025" w:rsidRDefault="00184535" w:rsidP="006D50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- biała tablica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funkcja pisania dwoma kolorami jednocześnie. Funkcja musi być również realizowana przy pomocy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6D5025">
              <w:rPr>
                <w:rFonts w:ascii="Times New Roman" w:hAnsi="Times New Roman" w:cs="Times New Roman"/>
                <w:bCs/>
                <w:color w:val="000000"/>
              </w:rPr>
              <w:t xml:space="preserve">jednego pisaka. </w:t>
            </w:r>
            <w:r w:rsidRPr="006D5025">
              <w:rPr>
                <w:rFonts w:ascii="Times New Roman" w:hAnsi="Times New Roman" w:cs="Times New Roman"/>
                <w:bCs/>
                <w:color w:val="000000"/>
              </w:rPr>
              <w:br/>
              <w:t>- funkcja nanoszenia notatek na dowolnej treści wyświetlanej przez monitor</w:t>
            </w:r>
          </w:p>
          <w:p w14:paraId="4EEAF090" w14:textId="77777777" w:rsidR="00184535" w:rsidRPr="00184535" w:rsidRDefault="00184535" w:rsidP="006D50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D5025">
              <w:rPr>
                <w:rFonts w:ascii="Times New Roman" w:hAnsi="Times New Roman" w:cs="Times New Roman"/>
                <w:bCs/>
                <w:color w:val="000000"/>
              </w:rPr>
              <w:t xml:space="preserve">- przeglądarka internetowa </w:t>
            </w:r>
            <w:r w:rsidRPr="006D5025">
              <w:rPr>
                <w:rFonts w:ascii="Times New Roman" w:hAnsi="Times New Roman" w:cs="Times New Roman"/>
                <w:bCs/>
                <w:color w:val="000000"/>
              </w:rPr>
              <w:br/>
              <w:t>- aplikacja umożliwiająca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bezprzewodowe współdzielenie ekranów urządzeń mobilnych na monitorze.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Aplikacja musi umożliwiać udostępnianie ekranów 4 urządzeń jednocześnie. Aplikacja musi działać na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urządzeniach z systemami: Android, iOS, Windows.  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instalacja dodatkowych aplikacji systemu Android poprzez oficjalny sklep Google Play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Store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>. Aby zapewnić pełną kompatybilność i bezpieczeństwo instalowanych aplikacji, monitor musi posiadać certyfikację Google EDLA.</w:t>
            </w:r>
          </w:p>
        </w:tc>
      </w:tr>
      <w:tr w:rsidR="00184535" w:rsidRPr="003930B0" w14:paraId="2FA27880" w14:textId="77777777" w:rsidTr="00C814F0">
        <w:trPr>
          <w:trHeight w:val="553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F0571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Akcesoria dostarczane z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monitorem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070C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2x bezbateryjny pisak przeznaczony do dotykowej obsługi monitora,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pilot bezprzewodowy do obsługi monitora,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1x przewód zasilający,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1x kabel USB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kabel HDMI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1x uchwyt do montażu monitora na ścianie kompatybilny ze standardem VESA</w:t>
            </w:r>
          </w:p>
        </w:tc>
      </w:tr>
      <w:tr w:rsidR="00184535" w:rsidRPr="003930B0" w14:paraId="37053A27" w14:textId="77777777" w:rsidTr="00C814F0">
        <w:trPr>
          <w:trHeight w:val="6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59EF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Gwarancja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13D9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5 lat gwarancji producenta </w:t>
            </w:r>
          </w:p>
        </w:tc>
      </w:tr>
      <w:tr w:rsidR="00184535" w:rsidRPr="003930B0" w14:paraId="2B72953C" w14:textId="77777777" w:rsidTr="00C814F0">
        <w:trPr>
          <w:trHeight w:val="564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4B1A6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Certyfikaty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01216" w14:textId="3A044738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CE, ISO 9001, ISO </w:t>
            </w:r>
            <w:r w:rsidR="0061126B" w:rsidRPr="00184535">
              <w:rPr>
                <w:rFonts w:ascii="Times New Roman" w:hAnsi="Times New Roman" w:cs="Times New Roman"/>
                <w:bCs/>
                <w:color w:val="000000"/>
              </w:rPr>
              <w:t>14001 dla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producenta monitora. </w:t>
            </w:r>
          </w:p>
        </w:tc>
      </w:tr>
    </w:tbl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D15D" w14:textId="77777777" w:rsidR="00155DAB" w:rsidRDefault="00155DAB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65D3DDF6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0BF704EE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1E84DAC8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69C9E699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01A0616A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3F3827CC" w14:textId="00C5CD38" w:rsidR="001934F9" w:rsidRDefault="001934F9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>Dodatkowo Wykonawca zobow</w:t>
      </w:r>
      <w:r w:rsidR="000E5B54">
        <w:rPr>
          <w:rFonts w:ascii="Times New Roman" w:hAnsi="Times New Roman"/>
        </w:rPr>
        <w:t>iązuje się do montażu urządzeń</w:t>
      </w:r>
      <w:r w:rsidRPr="00D15C1A">
        <w:rPr>
          <w:rFonts w:ascii="Times New Roman" w:hAnsi="Times New Roman"/>
        </w:rPr>
        <w:t xml:space="preserve"> </w:t>
      </w:r>
      <w:r w:rsidR="001D150A">
        <w:rPr>
          <w:rFonts w:ascii="Times New Roman" w:hAnsi="Times New Roman"/>
        </w:rPr>
        <w:t>na dostarczonym przez siebie mocowaniu</w:t>
      </w:r>
      <w:r w:rsidR="00184535">
        <w:rPr>
          <w:rFonts w:ascii="Times New Roman" w:hAnsi="Times New Roman"/>
        </w:rPr>
        <w:br/>
      </w:r>
      <w:r w:rsidR="001D150A">
        <w:rPr>
          <w:rFonts w:ascii="Times New Roman" w:hAnsi="Times New Roman"/>
        </w:rPr>
        <w:t xml:space="preserve"> </w:t>
      </w:r>
      <w:r w:rsidRPr="00D15C1A">
        <w:rPr>
          <w:rFonts w:ascii="Times New Roman" w:hAnsi="Times New Roman"/>
        </w:rPr>
        <w:t>w miejscu wskazanym przez Zamawiającego, uruchomienie i przeszkolenie przedstawicieli zamawiającego z obsł</w:t>
      </w:r>
      <w:r w:rsidR="00D61DCF" w:rsidRPr="00D15C1A">
        <w:rPr>
          <w:rFonts w:ascii="Times New Roman" w:hAnsi="Times New Roman"/>
        </w:rPr>
        <w:t xml:space="preserve">ugi urządzenia a także zapewni szkolenie </w:t>
      </w:r>
      <w:r w:rsidR="001D150A">
        <w:rPr>
          <w:rFonts w:ascii="Times New Roman" w:hAnsi="Times New Roman"/>
        </w:rPr>
        <w:t>pomocne w korzystaniu ze sprzętu</w:t>
      </w:r>
      <w:r w:rsidR="00D61DCF" w:rsidRPr="00D15C1A">
        <w:rPr>
          <w:rFonts w:ascii="Times New Roman" w:hAnsi="Times New Roman"/>
        </w:rPr>
        <w:t xml:space="preserve"> w procesie dydaktycznym. </w:t>
      </w:r>
      <w:r w:rsidR="00B54776">
        <w:rPr>
          <w:rFonts w:ascii="Times New Roman" w:hAnsi="Times New Roman"/>
        </w:rPr>
        <w:t>Szkolenia przeprowadzone w czasie nie krótszym niż 2 x 45 minut.</w:t>
      </w:r>
    </w:p>
    <w:p w14:paraId="4D696991" w14:textId="5824A5E7" w:rsidR="00B04573" w:rsidRDefault="00B04573" w:rsidP="000E5B54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Dodatkowo wykonawca dostarczy:</w:t>
      </w:r>
    </w:p>
    <w:p w14:paraId="10FD7B6B" w14:textId="3E1CCF83" w:rsidR="00B04573" w:rsidRDefault="0061126B" w:rsidP="000E5B54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04573">
        <w:rPr>
          <w:rFonts w:ascii="Times New Roman" w:hAnsi="Times New Roman"/>
        </w:rPr>
        <w:t xml:space="preserve"> komputery</w:t>
      </w:r>
      <w:r w:rsidR="000E5B54">
        <w:rPr>
          <w:rFonts w:ascii="Times New Roman" w:hAnsi="Times New Roman"/>
        </w:rPr>
        <w:t xml:space="preserve"> </w:t>
      </w:r>
      <w:r w:rsidR="000E5B54" w:rsidRPr="00A31DB7">
        <w:rPr>
          <w:rFonts w:ascii="Times New Roman" w:hAnsi="Times New Roman"/>
        </w:rPr>
        <w:t>Typu AIO</w:t>
      </w:r>
      <w:r w:rsidR="00B04573">
        <w:rPr>
          <w:rFonts w:ascii="Times New Roman" w:hAnsi="Times New Roman"/>
        </w:rPr>
        <w:t xml:space="preserve"> o minimalnych parametrach:</w:t>
      </w:r>
    </w:p>
    <w:p w14:paraId="2D0C7F1F" w14:textId="12CBB2D1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Przekątna ekranu</w:t>
      </w:r>
      <w:r>
        <w:tab/>
      </w:r>
      <w:r w:rsidR="000E5B54">
        <w:t xml:space="preserve">- </w:t>
      </w:r>
      <w:r>
        <w:t xml:space="preserve">23,8" </w:t>
      </w:r>
    </w:p>
    <w:p w14:paraId="53759C2E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Rozdzielczość min.</w:t>
      </w:r>
      <w:r>
        <w:tab/>
        <w:t xml:space="preserve">1920 x 1080 </w:t>
      </w:r>
      <w:proofErr w:type="spellStart"/>
      <w:r>
        <w:t>px</w:t>
      </w:r>
      <w:proofErr w:type="spellEnd"/>
      <w:r>
        <w:t xml:space="preserve"> </w:t>
      </w:r>
    </w:p>
    <w:p w14:paraId="61F57B55" w14:textId="475B40A4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Jasność min.</w:t>
      </w:r>
      <w:r>
        <w:tab/>
      </w:r>
      <w:r w:rsidR="000E5B54">
        <w:t xml:space="preserve">- </w:t>
      </w:r>
      <w:r>
        <w:t xml:space="preserve">250 cd/m² </w:t>
      </w:r>
    </w:p>
    <w:p w14:paraId="218957ED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Zakres kąta nachylenia ekranu</w:t>
      </w:r>
      <w:r>
        <w:tab/>
        <w:t xml:space="preserve">-5 - 18° </w:t>
      </w:r>
    </w:p>
    <w:p w14:paraId="2CFEF617" w14:textId="5FC76FA2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rdzeni procesora</w:t>
      </w:r>
      <w:r>
        <w:tab/>
      </w:r>
      <w:r w:rsidR="000E5B54">
        <w:t>-</w:t>
      </w:r>
      <w:r>
        <w:t xml:space="preserve">12 </w:t>
      </w:r>
    </w:p>
    <w:p w14:paraId="4C33A5C6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Maksymalne taktowanie procesora min.</w:t>
      </w:r>
      <w:r>
        <w:tab/>
        <w:t xml:space="preserve">4,7 GHz </w:t>
      </w:r>
    </w:p>
    <w:p w14:paraId="746B7977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Pamięć RAM min.</w:t>
      </w:r>
      <w:r>
        <w:tab/>
        <w:t xml:space="preserve">16 GB </w:t>
      </w:r>
    </w:p>
    <w:p w14:paraId="5A1FB095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Całkowita pojemność dysków min</w:t>
      </w:r>
      <w:r>
        <w:tab/>
        <w:t xml:space="preserve">256 GB  </w:t>
      </w:r>
    </w:p>
    <w:p w14:paraId="0CC622C4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Wbudowana kamera - min 5MP </w:t>
      </w:r>
    </w:p>
    <w:p w14:paraId="28307C7E" w14:textId="2B97AA3C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Podstawowy standard Wi-Fi</w:t>
      </w:r>
      <w:r>
        <w:tab/>
      </w:r>
      <w:r w:rsidR="000E5B54">
        <w:t>-</w:t>
      </w:r>
      <w:r>
        <w:t xml:space="preserve">Wi-Fi 6 (802.11ax) </w:t>
      </w:r>
    </w:p>
    <w:p w14:paraId="6724A598" w14:textId="746A7D03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Wersja Bluetooth min.</w:t>
      </w:r>
      <w:r>
        <w:tab/>
      </w:r>
      <w:r w:rsidR="000E5B54">
        <w:t>-</w:t>
      </w:r>
      <w:r>
        <w:t xml:space="preserve">5.1 </w:t>
      </w:r>
    </w:p>
    <w:p w14:paraId="03F19E6D" w14:textId="344AC54A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Zainstalowany system operacyjny</w:t>
      </w:r>
      <w:r>
        <w:tab/>
      </w:r>
      <w:r w:rsidR="000E5B54">
        <w:t>-</w:t>
      </w:r>
      <w:r>
        <w:t xml:space="preserve">Windows 11 Pro PL </w:t>
      </w:r>
    </w:p>
    <w:p w14:paraId="675765C8" w14:textId="3DC2E654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Język systemu operacyjnego</w:t>
      </w:r>
      <w:r>
        <w:tab/>
      </w:r>
      <w:r w:rsidR="000E5B54">
        <w:t xml:space="preserve">- </w:t>
      </w:r>
      <w:r>
        <w:t xml:space="preserve">Polski </w:t>
      </w:r>
    </w:p>
    <w:p w14:paraId="1EE88D9D" w14:textId="77777777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Głębokość urządzenia (z podstawą) max.</w:t>
      </w:r>
      <w:r>
        <w:tab/>
        <w:t xml:space="preserve">220 mm </w:t>
      </w:r>
    </w:p>
    <w:p w14:paraId="5A8D7F59" w14:textId="38A7A81B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Wysokość urządzenia (z podstawą) ma</w:t>
      </w:r>
      <w:r w:rsidR="000E5B54">
        <w:t>x.</w:t>
      </w:r>
      <w:r>
        <w:tab/>
        <w:t xml:space="preserve">482 mm </w:t>
      </w:r>
    </w:p>
    <w:p w14:paraId="2A5E5075" w14:textId="65AA1403" w:rsidR="00A31DB7" w:rsidRDefault="000E5B5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Waga (z </w:t>
      </w:r>
      <w:proofErr w:type="gramStart"/>
      <w:r>
        <w:t>podstawą)-</w:t>
      </w:r>
      <w:proofErr w:type="gramEnd"/>
      <w:r>
        <w:t xml:space="preserve"> max.7,65</w:t>
      </w:r>
      <w:r w:rsidR="00A31DB7">
        <w:t xml:space="preserve"> kg </w:t>
      </w:r>
    </w:p>
    <w:p w14:paraId="7F415532" w14:textId="3C0B4B14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Certyfikaty</w:t>
      </w:r>
      <w:r w:rsidR="000E5B54">
        <w:t>:</w:t>
      </w:r>
      <w:r>
        <w:tab/>
        <w:t xml:space="preserve">TÜV </w:t>
      </w:r>
      <w:proofErr w:type="spellStart"/>
      <w:r>
        <w:t>Rheinland</w:t>
      </w:r>
      <w:proofErr w:type="spellEnd"/>
      <w:r>
        <w:t xml:space="preserve">® </w:t>
      </w:r>
      <w:proofErr w:type="spellStart"/>
      <w:r>
        <w:t>Flicker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TÜV </w:t>
      </w:r>
      <w:proofErr w:type="spellStart"/>
      <w:r>
        <w:t>Rheinland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Blue </w:t>
      </w:r>
      <w:proofErr w:type="spellStart"/>
      <w:r>
        <w:t>Light</w:t>
      </w:r>
      <w:proofErr w:type="spellEnd"/>
      <w:r>
        <w:t xml:space="preserve"> TÜV </w:t>
      </w:r>
      <w:proofErr w:type="spellStart"/>
      <w:r>
        <w:t>Rheinland</w:t>
      </w:r>
      <w:proofErr w:type="spellEnd"/>
      <w:r>
        <w:t xml:space="preserve"> Ultra </w:t>
      </w:r>
      <w:proofErr w:type="spellStart"/>
      <w:r>
        <w:t>Low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</w:p>
    <w:p w14:paraId="6E982677" w14:textId="664BD1A9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Zawartość </w:t>
      </w:r>
      <w:proofErr w:type="gramStart"/>
      <w:r>
        <w:t>opakowania</w:t>
      </w:r>
      <w:r w:rsidR="000E5B54">
        <w:t>:</w:t>
      </w:r>
      <w:r>
        <w:t xml:space="preserve"> </w:t>
      </w:r>
      <w:r w:rsidR="000E5B54">
        <w:t xml:space="preserve"> d</w:t>
      </w:r>
      <w:r>
        <w:t>ołączona</w:t>
      </w:r>
      <w:proofErr w:type="gramEnd"/>
      <w:r w:rsidR="000E5B54">
        <w:t xml:space="preserve"> myszka, k</w:t>
      </w:r>
      <w:r>
        <w:t>lawiatura w zestawie</w:t>
      </w:r>
      <w:r w:rsidR="000E5B54">
        <w:t>.</w:t>
      </w:r>
      <w:r>
        <w:tab/>
        <w:t xml:space="preserve"> </w:t>
      </w:r>
    </w:p>
    <w:p w14:paraId="5E0883F6" w14:textId="1F5526AA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Gwarancja z serwisem w miejscu instalacji min</w:t>
      </w:r>
      <w:r w:rsidR="000E5B54">
        <w:t>.</w:t>
      </w:r>
      <w:r>
        <w:t xml:space="preserve">   36 miesięcy</w:t>
      </w:r>
      <w:r w:rsidR="000E5B54">
        <w:t>.</w:t>
      </w:r>
    </w:p>
    <w:p w14:paraId="6200ED96" w14:textId="0DFDEC9F" w:rsidR="00A10DC8" w:rsidRPr="00DB4743" w:rsidRDefault="00A10DC8" w:rsidP="00A31DB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 w15:restartNumberingAfterBreak="0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27B2A"/>
    <w:multiLevelType w:val="hybridMultilevel"/>
    <w:tmpl w:val="5A62F6A4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23FE2"/>
    <w:rsid w:val="000635DC"/>
    <w:rsid w:val="000E3E6A"/>
    <w:rsid w:val="000E5B54"/>
    <w:rsid w:val="00154512"/>
    <w:rsid w:val="00155DAB"/>
    <w:rsid w:val="0016050C"/>
    <w:rsid w:val="00164C3D"/>
    <w:rsid w:val="00174E40"/>
    <w:rsid w:val="00184535"/>
    <w:rsid w:val="001934F9"/>
    <w:rsid w:val="00194350"/>
    <w:rsid w:val="001A1338"/>
    <w:rsid w:val="001A519D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665D6"/>
    <w:rsid w:val="0028100E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3F679F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2BA5"/>
    <w:rsid w:val="00565524"/>
    <w:rsid w:val="00587D78"/>
    <w:rsid w:val="005A05FC"/>
    <w:rsid w:val="005A51D3"/>
    <w:rsid w:val="005A53E5"/>
    <w:rsid w:val="005E568F"/>
    <w:rsid w:val="005E7D09"/>
    <w:rsid w:val="0061126B"/>
    <w:rsid w:val="0061277E"/>
    <w:rsid w:val="00613053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C211A"/>
    <w:rsid w:val="006C781D"/>
    <w:rsid w:val="006D098B"/>
    <w:rsid w:val="006D5025"/>
    <w:rsid w:val="006D6387"/>
    <w:rsid w:val="006E4B96"/>
    <w:rsid w:val="006E6F4F"/>
    <w:rsid w:val="006F087E"/>
    <w:rsid w:val="00700226"/>
    <w:rsid w:val="0070496F"/>
    <w:rsid w:val="00713DE8"/>
    <w:rsid w:val="00717858"/>
    <w:rsid w:val="007240A1"/>
    <w:rsid w:val="007261CB"/>
    <w:rsid w:val="0072756A"/>
    <w:rsid w:val="00730661"/>
    <w:rsid w:val="007319EC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441B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067A"/>
    <w:rsid w:val="00A2127F"/>
    <w:rsid w:val="00A22A79"/>
    <w:rsid w:val="00A266D5"/>
    <w:rsid w:val="00A31DB7"/>
    <w:rsid w:val="00A5166E"/>
    <w:rsid w:val="00A57ABC"/>
    <w:rsid w:val="00A62197"/>
    <w:rsid w:val="00A730CA"/>
    <w:rsid w:val="00A833CE"/>
    <w:rsid w:val="00A84D0B"/>
    <w:rsid w:val="00A924DA"/>
    <w:rsid w:val="00AC4900"/>
    <w:rsid w:val="00AD6095"/>
    <w:rsid w:val="00AF0B95"/>
    <w:rsid w:val="00B006D2"/>
    <w:rsid w:val="00B013CC"/>
    <w:rsid w:val="00B04573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0223F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E740F"/>
    <w:rsid w:val="00EE7D60"/>
    <w:rsid w:val="00F0156A"/>
    <w:rsid w:val="00F04D0A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969819B2-59C3-499A-B447-285F3430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75231-E949-4280-8ABF-58987A96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13</cp:revision>
  <cp:lastPrinted>2021-10-27T07:48:00Z</cp:lastPrinted>
  <dcterms:created xsi:type="dcterms:W3CDTF">2024-11-28T17:25:00Z</dcterms:created>
  <dcterms:modified xsi:type="dcterms:W3CDTF">2024-12-17T13:55:00Z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